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A9" w:rsidRDefault="0047487C">
      <w:r w:rsidRPr="0047487C">
        <w:rPr>
          <w:noProof/>
          <w:color w:val="4F81BD" w:themeColor="accent1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9pt;margin-top:111pt;width:103.5pt;height:184.5pt;z-index:251658240" wrapcoords="-157 -88 -157 21512 21757 21512 21757 -88 -157 -88" fillcolor="#4f81bd [3204]" strokecolor="#4f81bd [3204]">
            <v:textbox style="mso-next-textbox:#_x0000_s1028">
              <w:txbxContent>
                <w:p w:rsidR="004A0611" w:rsidRPr="004A0611" w:rsidRDefault="004A0611" w:rsidP="004A0611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4A0611">
                    <w:rPr>
                      <w:i/>
                      <w:iCs/>
                      <w:sz w:val="28"/>
                      <w:szCs w:val="28"/>
                    </w:rPr>
                    <w:t>Tightly wear.</w:t>
                  </w:r>
                </w:p>
                <w:p w:rsidR="004A0611" w:rsidRPr="004A0611" w:rsidRDefault="004A0611" w:rsidP="004A0611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4A0611">
                    <w:rPr>
                      <w:i/>
                      <w:iCs/>
                      <w:sz w:val="28"/>
                      <w:szCs w:val="28"/>
                    </w:rPr>
                    <w:t>A source of beauty</w:t>
                  </w:r>
                </w:p>
                <w:p w:rsidR="004A0611" w:rsidRDefault="004A0611" w:rsidP="004A0611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4A0611">
                    <w:rPr>
                      <w:i/>
                      <w:iCs/>
                      <w:sz w:val="28"/>
                      <w:szCs w:val="28"/>
                    </w:rPr>
                    <w:t>Initially a common practice only in wealthy family</w:t>
                  </w:r>
                </w:p>
                <w:p w:rsidR="00A84F86" w:rsidRPr="004A0611" w:rsidRDefault="00A84F86" w:rsidP="004A0611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>
                    <w:rPr>
                      <w:i/>
                      <w:iCs/>
                      <w:sz w:val="28"/>
                      <w:szCs w:val="28"/>
                    </w:rPr>
                    <w:t>Health risk</w:t>
                  </w:r>
                </w:p>
                <w:p w:rsidR="004A0611" w:rsidRPr="004A0611" w:rsidRDefault="004A0611" w:rsidP="004A0611">
                  <w:pPr>
                    <w:pBdr>
                      <w:top w:val="single" w:sz="4" w:space="10" w:color="A7BFDE" w:themeColor="accent1" w:themeTint="7F"/>
                      <w:bottom w:val="single" w:sz="4" w:space="10" w:color="A7BFDE" w:themeColor="accent1" w:themeTint="7F"/>
                    </w:pBdr>
                    <w:spacing w:after="0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  <w:p w:rsidR="004A0611" w:rsidRDefault="004A0611"/>
              </w:txbxContent>
            </v:textbox>
          </v:shape>
        </w:pict>
      </w:r>
      <w:r w:rsidR="00390DE6">
        <w:rPr>
          <w:noProof/>
        </w:rPr>
        <w:drawing>
          <wp:inline distT="0" distB="0" distL="0" distR="0">
            <wp:extent cx="8191500" cy="51244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E34A9" w:rsidRPr="005E34A9" w:rsidRDefault="005E34A9" w:rsidP="005E34A9"/>
    <w:sectPr w:rsidR="005E34A9" w:rsidRPr="005E34A9" w:rsidSect="004A06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0DE6"/>
    <w:rsid w:val="000F2E5D"/>
    <w:rsid w:val="00261682"/>
    <w:rsid w:val="00390DE6"/>
    <w:rsid w:val="0047487C"/>
    <w:rsid w:val="004A0611"/>
    <w:rsid w:val="005E34A9"/>
    <w:rsid w:val="007E5F7F"/>
    <w:rsid w:val="00A84F86"/>
    <w:rsid w:val="00B46CCC"/>
    <w:rsid w:val="00E8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04]" stroke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7E272F-C889-4202-93D2-F78858534880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5C8C05E4-D59F-4486-92EE-0EAA3A194F2E}">
      <dgm:prSet phldrT="[Text]"/>
      <dgm:spPr/>
      <dgm:t>
        <a:bodyPr/>
        <a:lstStyle/>
        <a:p>
          <a:r>
            <a:rPr lang="en-US"/>
            <a:t>foot binding</a:t>
          </a:r>
        </a:p>
        <a:p>
          <a:r>
            <a:rPr lang="en-US"/>
            <a:t>bound feet.</a:t>
          </a:r>
        </a:p>
        <a:p>
          <a:r>
            <a:rPr lang="en-US"/>
            <a:t>origin in china.</a:t>
          </a:r>
        </a:p>
        <a:p>
          <a:r>
            <a:rPr lang="en-US"/>
            <a:t>only women wear it.</a:t>
          </a:r>
        </a:p>
        <a:p>
          <a:r>
            <a:rPr lang="en-US"/>
            <a:t>producing smaller dainty feet.</a:t>
          </a:r>
        </a:p>
        <a:p>
          <a:r>
            <a:rPr lang="en-US"/>
            <a:t>toenail would ingrow and could lead to flesh rotting, occasionally cause the toes to drop off.</a:t>
          </a:r>
        </a:p>
        <a:p>
          <a:r>
            <a:rPr lang="en-US"/>
            <a:t>ending in the early 20th century.</a:t>
          </a:r>
        </a:p>
      </dgm:t>
    </dgm:pt>
    <dgm:pt modelId="{D64335B9-7F63-4EB5-B07E-DBA9C1AF6579}" type="parTrans" cxnId="{8389EB07-8848-49AC-9B65-ACCD92A3B2D2}">
      <dgm:prSet/>
      <dgm:spPr/>
      <dgm:t>
        <a:bodyPr/>
        <a:lstStyle/>
        <a:p>
          <a:endParaRPr lang="en-US"/>
        </a:p>
      </dgm:t>
    </dgm:pt>
    <dgm:pt modelId="{DFBD6898-0541-498C-89AB-5D931308F9CD}" type="sibTrans" cxnId="{8389EB07-8848-49AC-9B65-ACCD92A3B2D2}">
      <dgm:prSet/>
      <dgm:spPr/>
      <dgm:t>
        <a:bodyPr/>
        <a:lstStyle/>
        <a:p>
          <a:endParaRPr lang="en-US"/>
        </a:p>
      </dgm:t>
    </dgm:pt>
    <dgm:pt modelId="{D8B85B32-4146-4EA8-ACCA-838144C4F623}">
      <dgm:prSet phldrT="[Text]"/>
      <dgm:spPr/>
      <dgm:t>
        <a:bodyPr/>
        <a:lstStyle/>
        <a:p>
          <a:r>
            <a:rPr lang="en-US"/>
            <a:t>corset</a:t>
          </a:r>
        </a:p>
        <a:p>
          <a:r>
            <a:rPr lang="en-US"/>
            <a:t>close-fitting undergarment.</a:t>
          </a:r>
        </a:p>
        <a:p>
          <a:r>
            <a:rPr lang="en-US"/>
            <a:t>the exact origins are lost in antiquity.</a:t>
          </a:r>
        </a:p>
        <a:p>
          <a:r>
            <a:rPr lang="en-US"/>
            <a:t>both women and men wear it.</a:t>
          </a:r>
        </a:p>
        <a:p>
          <a:r>
            <a:rPr lang="en-US"/>
            <a:t>to shorten the waist.</a:t>
          </a:r>
        </a:p>
        <a:p>
          <a:r>
            <a:rPr lang="en-US"/>
            <a:t>can cause compression of the chest and downward pressure on the abdomen.</a:t>
          </a:r>
        </a:p>
        <a:p>
          <a:r>
            <a:rPr lang="en-US"/>
            <a:t>continous to live on with the advent of ready-to-wear fashions.</a:t>
          </a:r>
        </a:p>
      </dgm:t>
    </dgm:pt>
    <dgm:pt modelId="{EAE85FDB-BE65-4F41-94B9-15C04BAB2780}" type="parTrans" cxnId="{C4A27D2E-C624-4EC1-AD20-DE0CEA472187}">
      <dgm:prSet/>
      <dgm:spPr/>
      <dgm:t>
        <a:bodyPr/>
        <a:lstStyle/>
        <a:p>
          <a:endParaRPr lang="en-US"/>
        </a:p>
      </dgm:t>
    </dgm:pt>
    <dgm:pt modelId="{010FE36D-ED41-4827-B005-B551E3038772}" type="sibTrans" cxnId="{C4A27D2E-C624-4EC1-AD20-DE0CEA472187}">
      <dgm:prSet/>
      <dgm:spPr/>
      <dgm:t>
        <a:bodyPr/>
        <a:lstStyle/>
        <a:p>
          <a:endParaRPr lang="en-US"/>
        </a:p>
      </dgm:t>
    </dgm:pt>
    <dgm:pt modelId="{906DBF31-FAB9-4BE9-A028-9D1CB68A3CD8}" type="pres">
      <dgm:prSet presAssocID="{617E272F-C889-4202-93D2-F78858534880}" presName="compositeShape" presStyleCnt="0">
        <dgm:presLayoutVars>
          <dgm:chMax val="7"/>
          <dgm:dir/>
          <dgm:resizeHandles val="exact"/>
        </dgm:presLayoutVars>
      </dgm:prSet>
      <dgm:spPr/>
    </dgm:pt>
    <dgm:pt modelId="{47D2485A-7576-444E-BD29-0EEBA525D188}" type="pres">
      <dgm:prSet presAssocID="{5C8C05E4-D59F-4486-92EE-0EAA3A194F2E}" presName="circ1" presStyleLbl="vennNode1" presStyleIdx="0" presStyleCnt="2"/>
      <dgm:spPr/>
      <dgm:t>
        <a:bodyPr/>
        <a:lstStyle/>
        <a:p>
          <a:endParaRPr lang="en-US"/>
        </a:p>
      </dgm:t>
    </dgm:pt>
    <dgm:pt modelId="{2F85C541-81E7-4E0F-B5C5-D0EC3E28AC6F}" type="pres">
      <dgm:prSet presAssocID="{5C8C05E4-D59F-4486-92EE-0EAA3A194F2E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BCBC4E-05D3-403C-8CD7-7E6FBE0246C3}" type="pres">
      <dgm:prSet presAssocID="{D8B85B32-4146-4EA8-ACCA-838144C4F623}" presName="circ2" presStyleLbl="vennNode1" presStyleIdx="1" presStyleCnt="2"/>
      <dgm:spPr/>
      <dgm:t>
        <a:bodyPr/>
        <a:lstStyle/>
        <a:p>
          <a:endParaRPr lang="en-US"/>
        </a:p>
      </dgm:t>
    </dgm:pt>
    <dgm:pt modelId="{2332CB24-7109-4D0A-BBA2-29EF8D6F7800}" type="pres">
      <dgm:prSet presAssocID="{D8B85B32-4146-4EA8-ACCA-838144C4F623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D3B5095-8F99-425F-99EE-EB15DF92488F}" type="presOf" srcId="{D8B85B32-4146-4EA8-ACCA-838144C4F623}" destId="{2332CB24-7109-4D0A-BBA2-29EF8D6F7800}" srcOrd="1" destOrd="0" presId="urn:microsoft.com/office/officeart/2005/8/layout/venn1"/>
    <dgm:cxn modelId="{8389EB07-8848-49AC-9B65-ACCD92A3B2D2}" srcId="{617E272F-C889-4202-93D2-F78858534880}" destId="{5C8C05E4-D59F-4486-92EE-0EAA3A194F2E}" srcOrd="0" destOrd="0" parTransId="{D64335B9-7F63-4EB5-B07E-DBA9C1AF6579}" sibTransId="{DFBD6898-0541-498C-89AB-5D931308F9CD}"/>
    <dgm:cxn modelId="{327582CD-9287-4414-ADB8-9D036ACC87E4}" type="presOf" srcId="{5C8C05E4-D59F-4486-92EE-0EAA3A194F2E}" destId="{47D2485A-7576-444E-BD29-0EEBA525D188}" srcOrd="0" destOrd="0" presId="urn:microsoft.com/office/officeart/2005/8/layout/venn1"/>
    <dgm:cxn modelId="{15DECC1F-AC9F-4E87-903B-FA5F645343FE}" type="presOf" srcId="{D8B85B32-4146-4EA8-ACCA-838144C4F623}" destId="{2ABCBC4E-05D3-403C-8CD7-7E6FBE0246C3}" srcOrd="0" destOrd="0" presId="urn:microsoft.com/office/officeart/2005/8/layout/venn1"/>
    <dgm:cxn modelId="{E88E84AA-D2F6-401E-8469-B94A77A2E6DC}" type="presOf" srcId="{5C8C05E4-D59F-4486-92EE-0EAA3A194F2E}" destId="{2F85C541-81E7-4E0F-B5C5-D0EC3E28AC6F}" srcOrd="1" destOrd="0" presId="urn:microsoft.com/office/officeart/2005/8/layout/venn1"/>
    <dgm:cxn modelId="{4FAC6FB8-E9E9-4AD1-8951-AFA960068BD5}" type="presOf" srcId="{617E272F-C889-4202-93D2-F78858534880}" destId="{906DBF31-FAB9-4BE9-A028-9D1CB68A3CD8}" srcOrd="0" destOrd="0" presId="urn:microsoft.com/office/officeart/2005/8/layout/venn1"/>
    <dgm:cxn modelId="{C4A27D2E-C624-4EC1-AD20-DE0CEA472187}" srcId="{617E272F-C889-4202-93D2-F78858534880}" destId="{D8B85B32-4146-4EA8-ACCA-838144C4F623}" srcOrd="1" destOrd="0" parTransId="{EAE85FDB-BE65-4F41-94B9-15C04BAB2780}" sibTransId="{010FE36D-ED41-4827-B005-B551E3038772}"/>
    <dgm:cxn modelId="{013652B8-6F38-48C4-A61B-B921A3CF8349}" type="presParOf" srcId="{906DBF31-FAB9-4BE9-A028-9D1CB68A3CD8}" destId="{47D2485A-7576-444E-BD29-0EEBA525D188}" srcOrd="0" destOrd="0" presId="urn:microsoft.com/office/officeart/2005/8/layout/venn1"/>
    <dgm:cxn modelId="{BDD1693A-7A6C-4C9A-A0E0-E6D67E1B0A6A}" type="presParOf" srcId="{906DBF31-FAB9-4BE9-A028-9D1CB68A3CD8}" destId="{2F85C541-81E7-4E0F-B5C5-D0EC3E28AC6F}" srcOrd="1" destOrd="0" presId="urn:microsoft.com/office/officeart/2005/8/layout/venn1"/>
    <dgm:cxn modelId="{F095CF77-2E5D-46F2-8AEF-AF32270AEA80}" type="presParOf" srcId="{906DBF31-FAB9-4BE9-A028-9D1CB68A3CD8}" destId="{2ABCBC4E-05D3-403C-8CD7-7E6FBE0246C3}" srcOrd="2" destOrd="0" presId="urn:microsoft.com/office/officeart/2005/8/layout/venn1"/>
    <dgm:cxn modelId="{A527F3AA-BDCD-40C8-A2AD-BCAB01017B05}" type="presParOf" srcId="{906DBF31-FAB9-4BE9-A028-9D1CB68A3CD8}" destId="{2332CB24-7109-4D0A-BBA2-29EF8D6F7800}" srcOrd="3" destOrd="0" presId="urn:microsoft.com/office/officeart/2005/8/layout/ven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2011-02-07T19:57:00Z</dcterms:created>
  <dcterms:modified xsi:type="dcterms:W3CDTF">2011-02-07T22:17:00Z</dcterms:modified>
</cp:coreProperties>
</file>